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E13" w:rsidRDefault="00700E13" w:rsidP="00700E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00E13" w:rsidRPr="00364076" w:rsidRDefault="00700E13" w:rsidP="00700E1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 wp14:anchorId="75B17558" wp14:editId="33EFA45C">
            <wp:extent cx="3000375" cy="1924050"/>
            <wp:effectExtent l="0" t="0" r="9525" b="19050"/>
            <wp:docPr id="1" name="Ди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00E13" w:rsidRDefault="008D2D32" w:rsidP="00700E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Arial" w:hAnsi="Arial" w:cs="Arial"/>
          <w:b/>
          <w:sz w:val="16"/>
          <w:szCs w:val="16"/>
        </w:rPr>
        <w:t>Fig</w:t>
      </w:r>
      <w:r>
        <w:rPr>
          <w:rFonts w:ascii="Arial" w:hAnsi="Arial" w:cs="Arial"/>
          <w:b/>
          <w:sz w:val="16"/>
          <w:szCs w:val="16"/>
          <w:lang w:val="en-US"/>
        </w:rPr>
        <w:t>ure</w:t>
      </w:r>
      <w:r w:rsidR="00700E13" w:rsidRPr="00DD2333">
        <w:rPr>
          <w:rFonts w:ascii="Arial" w:hAnsi="Arial" w:cs="Arial"/>
          <w:b/>
          <w:sz w:val="16"/>
          <w:szCs w:val="16"/>
        </w:rPr>
        <w:t xml:space="preserve"> 1.</w:t>
      </w:r>
      <w:r w:rsidR="00700E13">
        <w:rPr>
          <w:rFonts w:ascii="Arial" w:hAnsi="Arial" w:cs="Arial"/>
          <w:sz w:val="16"/>
          <w:szCs w:val="16"/>
        </w:rPr>
        <w:t xml:space="preserve"> Absorption spectra of the ternary complexes</w:t>
      </w:r>
    </w:p>
    <w:p w:rsidR="00700E13" w:rsidRPr="00364076" w:rsidRDefault="00700E13" w:rsidP="00700E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Arial" w:hAnsi="Arial" w:cs="Arial"/>
          <w:sz w:val="16"/>
          <w:szCs w:val="16"/>
        </w:rPr>
        <w:t xml:space="preserve">of Co-PAR-MTT and Co-PAR-TV in </w:t>
      </w:r>
      <w:r>
        <w:rPr>
          <w:rFonts w:ascii="Arial" w:hAnsi="Arial" w:cs="Arial"/>
          <w:sz w:val="16"/>
          <w:szCs w:val="16"/>
          <w:lang w:val="en-US"/>
        </w:rPr>
        <w:t>CHCl</w:t>
      </w:r>
      <w:r w:rsidRPr="00770218">
        <w:rPr>
          <w:rFonts w:ascii="Arial" w:hAnsi="Arial" w:cs="Arial"/>
          <w:sz w:val="16"/>
          <w:szCs w:val="16"/>
          <w:vertAlign w:val="subscript"/>
          <w:lang w:val="en-US"/>
        </w:rPr>
        <w:t>3</w:t>
      </w:r>
      <w:r w:rsidR="005B0311">
        <w:rPr>
          <w:rFonts w:ascii="Arial" w:hAnsi="Arial" w:cs="Arial"/>
          <w:sz w:val="16"/>
          <w:szCs w:val="16"/>
          <w:lang w:val="en-US"/>
        </w:rPr>
        <w:t xml:space="preserve"> against blanks</w:t>
      </w:r>
      <w:r>
        <w:rPr>
          <w:rFonts w:ascii="Arial" w:hAnsi="Arial" w:cs="Arial"/>
          <w:sz w:val="16"/>
          <w:szCs w:val="16"/>
          <w:lang w:val="en-US"/>
        </w:rPr>
        <w:t>:</w:t>
      </w:r>
    </w:p>
    <w:p w:rsidR="00700E13" w:rsidRDefault="00700E13" w:rsidP="00700E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4F09">
        <w:rPr>
          <w:rFonts w:ascii="Arial" w:hAnsi="Arial" w:cs="Arial"/>
          <w:i/>
          <w:sz w:val="16"/>
          <w:szCs w:val="16"/>
          <w:highlight w:val="yellow"/>
        </w:rPr>
        <w:t>C</w:t>
      </w:r>
      <w:r w:rsidRPr="009D4F09">
        <w:rPr>
          <w:rFonts w:ascii="Arial" w:hAnsi="Arial" w:cs="Arial"/>
          <w:i/>
          <w:sz w:val="16"/>
          <w:szCs w:val="16"/>
          <w:highlight w:val="yellow"/>
          <w:vertAlign w:val="subscript"/>
        </w:rPr>
        <w:t>Co</w:t>
      </w:r>
      <w:r w:rsidRPr="009D4F09">
        <w:rPr>
          <w:rFonts w:ascii="Arial" w:hAnsi="Arial" w:cs="Arial"/>
          <w:i/>
          <w:sz w:val="16"/>
          <w:szCs w:val="16"/>
          <w:highlight w:val="yellow"/>
          <w:vertAlign w:val="subscript"/>
          <w:lang w:val="en-US"/>
        </w:rPr>
        <w:t>(II)</w:t>
      </w:r>
      <w:r>
        <w:rPr>
          <w:rFonts w:ascii="Arial" w:hAnsi="Arial" w:cs="Arial"/>
          <w:sz w:val="16"/>
          <w:szCs w:val="16"/>
        </w:rPr>
        <w:t xml:space="preserve"> = 1.7×10</w:t>
      </w:r>
      <w:r w:rsidRPr="00B53D16">
        <w:rPr>
          <w:rFonts w:ascii="Arial" w:hAnsi="Arial" w:cs="Arial"/>
          <w:sz w:val="16"/>
          <w:szCs w:val="16"/>
          <w:vertAlign w:val="superscript"/>
        </w:rPr>
        <w:t>-5</w:t>
      </w:r>
      <w:r>
        <w:rPr>
          <w:rFonts w:ascii="Arial" w:hAnsi="Arial" w:cs="Arial"/>
          <w:sz w:val="16"/>
          <w:szCs w:val="16"/>
        </w:rPr>
        <w:t xml:space="preserve"> mol L</w:t>
      </w:r>
      <w:r w:rsidRPr="00B53D16">
        <w:rPr>
          <w:rFonts w:ascii="Arial" w:hAnsi="Arial" w:cs="Arial"/>
          <w:sz w:val="16"/>
          <w:szCs w:val="16"/>
          <w:vertAlign w:val="superscript"/>
        </w:rPr>
        <w:t>-1</w:t>
      </w:r>
      <w:r>
        <w:rPr>
          <w:rFonts w:ascii="Arial" w:hAnsi="Arial" w:cs="Arial"/>
          <w:sz w:val="16"/>
          <w:szCs w:val="16"/>
        </w:rPr>
        <w:t xml:space="preserve">; </w:t>
      </w:r>
      <w:r w:rsidRPr="009D4F09">
        <w:rPr>
          <w:rFonts w:ascii="Arial" w:hAnsi="Arial" w:cs="Arial"/>
          <w:i/>
          <w:sz w:val="16"/>
          <w:szCs w:val="16"/>
          <w:highlight w:val="yellow"/>
        </w:rPr>
        <w:t>C</w:t>
      </w:r>
      <w:r w:rsidRPr="009D4F09">
        <w:rPr>
          <w:rFonts w:ascii="Arial" w:hAnsi="Arial" w:cs="Arial"/>
          <w:i/>
          <w:sz w:val="16"/>
          <w:szCs w:val="16"/>
          <w:highlight w:val="yellow"/>
          <w:vertAlign w:val="subscript"/>
        </w:rPr>
        <w:t>PAR</w:t>
      </w:r>
      <w:r>
        <w:rPr>
          <w:rFonts w:ascii="Arial" w:hAnsi="Arial" w:cs="Arial"/>
          <w:sz w:val="16"/>
          <w:szCs w:val="16"/>
        </w:rPr>
        <w:t xml:space="preserve"> = 2.0×10</w:t>
      </w:r>
      <w:r w:rsidRPr="00B53D16">
        <w:rPr>
          <w:rFonts w:ascii="Arial" w:hAnsi="Arial" w:cs="Arial"/>
          <w:sz w:val="16"/>
          <w:szCs w:val="16"/>
          <w:vertAlign w:val="superscript"/>
        </w:rPr>
        <w:t>-4</w:t>
      </w:r>
      <w:r>
        <w:rPr>
          <w:rFonts w:ascii="Arial" w:hAnsi="Arial" w:cs="Arial"/>
          <w:sz w:val="16"/>
          <w:szCs w:val="16"/>
        </w:rPr>
        <w:t xml:space="preserve"> mol L</w:t>
      </w:r>
      <w:r w:rsidRPr="00B53D16">
        <w:rPr>
          <w:rFonts w:ascii="Arial" w:hAnsi="Arial" w:cs="Arial"/>
          <w:sz w:val="16"/>
          <w:szCs w:val="16"/>
          <w:vertAlign w:val="superscript"/>
        </w:rPr>
        <w:t>-1</w:t>
      </w:r>
      <w:r>
        <w:rPr>
          <w:rFonts w:ascii="Arial" w:hAnsi="Arial" w:cs="Arial"/>
          <w:sz w:val="16"/>
          <w:szCs w:val="16"/>
        </w:rPr>
        <w:t>;</w:t>
      </w:r>
    </w:p>
    <w:p w:rsidR="00700E13" w:rsidRDefault="00700E13" w:rsidP="00700E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4F09">
        <w:rPr>
          <w:rFonts w:ascii="Arial" w:hAnsi="Arial" w:cs="Arial"/>
          <w:i/>
          <w:sz w:val="16"/>
          <w:szCs w:val="16"/>
          <w:highlight w:val="yellow"/>
        </w:rPr>
        <w:t>C</w:t>
      </w:r>
      <w:r w:rsidRPr="009D4F09">
        <w:rPr>
          <w:rFonts w:ascii="Arial" w:hAnsi="Arial" w:cs="Arial"/>
          <w:i/>
          <w:sz w:val="16"/>
          <w:szCs w:val="16"/>
          <w:highlight w:val="yellow"/>
          <w:vertAlign w:val="subscript"/>
        </w:rPr>
        <w:t>MTT</w:t>
      </w:r>
      <w:r>
        <w:rPr>
          <w:rFonts w:ascii="Arial" w:hAnsi="Arial" w:cs="Arial"/>
          <w:sz w:val="16"/>
          <w:szCs w:val="16"/>
        </w:rPr>
        <w:t xml:space="preserve"> = 3.6×10</w:t>
      </w:r>
      <w:r w:rsidRPr="00B53D16">
        <w:rPr>
          <w:rFonts w:ascii="Arial" w:hAnsi="Arial" w:cs="Arial"/>
          <w:sz w:val="16"/>
          <w:szCs w:val="16"/>
          <w:vertAlign w:val="superscript"/>
        </w:rPr>
        <w:t>-4</w:t>
      </w:r>
      <w:r>
        <w:rPr>
          <w:rFonts w:ascii="Arial" w:hAnsi="Arial" w:cs="Arial"/>
          <w:sz w:val="16"/>
          <w:szCs w:val="16"/>
        </w:rPr>
        <w:t xml:space="preserve"> mol L</w:t>
      </w:r>
      <w:r w:rsidRPr="00B53D16">
        <w:rPr>
          <w:rFonts w:ascii="Arial" w:hAnsi="Arial" w:cs="Arial"/>
          <w:sz w:val="16"/>
          <w:szCs w:val="16"/>
          <w:vertAlign w:val="superscript"/>
        </w:rPr>
        <w:t>-1</w:t>
      </w:r>
      <w:r>
        <w:rPr>
          <w:rFonts w:ascii="Arial" w:hAnsi="Arial" w:cs="Arial"/>
          <w:sz w:val="16"/>
          <w:szCs w:val="16"/>
        </w:rPr>
        <w:t xml:space="preserve">; </w:t>
      </w:r>
      <w:r w:rsidRPr="009D4F09">
        <w:rPr>
          <w:rFonts w:ascii="Arial" w:hAnsi="Arial" w:cs="Arial"/>
          <w:i/>
          <w:sz w:val="16"/>
          <w:szCs w:val="16"/>
          <w:highlight w:val="yellow"/>
        </w:rPr>
        <w:t>C</w:t>
      </w:r>
      <w:r w:rsidRPr="009D4F09">
        <w:rPr>
          <w:rFonts w:ascii="Arial" w:hAnsi="Arial" w:cs="Arial"/>
          <w:i/>
          <w:sz w:val="16"/>
          <w:szCs w:val="16"/>
          <w:highlight w:val="yellow"/>
          <w:vertAlign w:val="subscript"/>
        </w:rPr>
        <w:t>TV</w:t>
      </w:r>
      <w:r>
        <w:rPr>
          <w:rFonts w:ascii="Arial" w:hAnsi="Arial" w:cs="Arial"/>
          <w:sz w:val="16"/>
          <w:szCs w:val="16"/>
        </w:rPr>
        <w:t xml:space="preserve"> = 3.0×10</w:t>
      </w:r>
      <w:r w:rsidRPr="00B53D16">
        <w:rPr>
          <w:rFonts w:ascii="Arial" w:hAnsi="Arial" w:cs="Arial"/>
          <w:sz w:val="16"/>
          <w:szCs w:val="16"/>
          <w:vertAlign w:val="superscript"/>
        </w:rPr>
        <w:t>-4</w:t>
      </w:r>
      <w:r>
        <w:rPr>
          <w:rFonts w:ascii="Arial" w:hAnsi="Arial" w:cs="Arial"/>
          <w:sz w:val="16"/>
          <w:szCs w:val="16"/>
        </w:rPr>
        <w:t xml:space="preserve"> mol L</w:t>
      </w:r>
      <w:r w:rsidRPr="00B53D16">
        <w:rPr>
          <w:rFonts w:ascii="Arial" w:hAnsi="Arial" w:cs="Arial"/>
          <w:sz w:val="16"/>
          <w:szCs w:val="16"/>
          <w:vertAlign w:val="superscript"/>
        </w:rPr>
        <w:t>-1</w:t>
      </w:r>
    </w:p>
    <w:p w:rsidR="00700E13" w:rsidRDefault="00700E13" w:rsidP="00700E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C1CB0" w:rsidRDefault="005C1CB0">
      <w:bookmarkStart w:id="0" w:name="_GoBack"/>
      <w:bookmarkEnd w:id="0"/>
    </w:p>
    <w:sectPr w:rsidR="005C1C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E13"/>
    <w:rsid w:val="003B5ED3"/>
    <w:rsid w:val="005B0311"/>
    <w:rsid w:val="005C1CB0"/>
    <w:rsid w:val="00700E13"/>
    <w:rsid w:val="008D2D32"/>
    <w:rsid w:val="009D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E13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0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E13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E13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0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E13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0097859005082558"/>
          <c:y val="6.0295928648729326E-2"/>
          <c:w val="0.74249984638207844"/>
          <c:h val="0.68972787430298987"/>
        </c:manualLayout>
      </c:layout>
      <c:scatterChart>
        <c:scatterStyle val="smoothMarker"/>
        <c:varyColors val="0"/>
        <c:ser>
          <c:idx val="0"/>
          <c:order val="0"/>
          <c:tx>
            <c:strRef>
              <c:f>'спектър CoPARMTT(TV)'!$B$1</c:f>
              <c:strCache>
                <c:ptCount val="1"/>
                <c:pt idx="0">
                  <c:v>(1) Co-PAR-MTT</c:v>
                </c:pt>
              </c:strCache>
            </c:strRef>
          </c:tx>
          <c:spPr>
            <a:ln w="12700">
              <a:solidFill>
                <a:srgbClr val="0070C0"/>
              </a:solidFill>
            </a:ln>
          </c:spPr>
          <c:marker>
            <c:symbol val="square"/>
            <c:size val="3"/>
            <c:spPr>
              <a:solidFill>
                <a:schemeClr val="accent5"/>
              </a:solidFill>
              <a:ln>
                <a:noFill/>
              </a:ln>
            </c:spPr>
          </c:marker>
          <c:xVal>
            <c:numRef>
              <c:f>'спектър CoPARMTT(TV)'!$A$2:$A$30</c:f>
              <c:numCache>
                <c:formatCode>General</c:formatCode>
                <c:ptCount val="29"/>
                <c:pt idx="0">
                  <c:v>440</c:v>
                </c:pt>
                <c:pt idx="1">
                  <c:v>450</c:v>
                </c:pt>
                <c:pt idx="2">
                  <c:v>460</c:v>
                </c:pt>
                <c:pt idx="3">
                  <c:v>470</c:v>
                </c:pt>
                <c:pt idx="4">
                  <c:v>480</c:v>
                </c:pt>
                <c:pt idx="5">
                  <c:v>490</c:v>
                </c:pt>
                <c:pt idx="6">
                  <c:v>500</c:v>
                </c:pt>
                <c:pt idx="7" formatCode="0">
                  <c:v>510</c:v>
                </c:pt>
                <c:pt idx="8">
                  <c:v>515</c:v>
                </c:pt>
                <c:pt idx="9">
                  <c:v>520</c:v>
                </c:pt>
                <c:pt idx="10">
                  <c:v>525</c:v>
                </c:pt>
                <c:pt idx="11">
                  <c:v>530</c:v>
                </c:pt>
                <c:pt idx="12">
                  <c:v>540</c:v>
                </c:pt>
                <c:pt idx="13">
                  <c:v>550</c:v>
                </c:pt>
                <c:pt idx="14">
                  <c:v>560</c:v>
                </c:pt>
                <c:pt idx="15">
                  <c:v>570</c:v>
                </c:pt>
                <c:pt idx="16">
                  <c:v>580</c:v>
                </c:pt>
                <c:pt idx="17">
                  <c:v>590</c:v>
                </c:pt>
                <c:pt idx="18">
                  <c:v>600</c:v>
                </c:pt>
                <c:pt idx="19">
                  <c:v>610</c:v>
                </c:pt>
                <c:pt idx="20">
                  <c:v>620</c:v>
                </c:pt>
                <c:pt idx="21">
                  <c:v>630</c:v>
                </c:pt>
                <c:pt idx="22">
                  <c:v>640</c:v>
                </c:pt>
                <c:pt idx="23">
                  <c:v>650</c:v>
                </c:pt>
                <c:pt idx="24">
                  <c:v>660</c:v>
                </c:pt>
                <c:pt idx="25">
                  <c:v>670</c:v>
                </c:pt>
                <c:pt idx="26">
                  <c:v>680</c:v>
                </c:pt>
                <c:pt idx="27">
                  <c:v>690</c:v>
                </c:pt>
              </c:numCache>
            </c:numRef>
          </c:xVal>
          <c:yVal>
            <c:numRef>
              <c:f>'спектър CoPARMTT(TV)'!$B$2:$B$30</c:f>
              <c:numCache>
                <c:formatCode>General</c:formatCode>
                <c:ptCount val="29"/>
                <c:pt idx="0">
                  <c:v>1.4E-2</c:v>
                </c:pt>
                <c:pt idx="1">
                  <c:v>0.18099999999999999</c:v>
                </c:pt>
                <c:pt idx="2">
                  <c:v>0.32400000000000001</c:v>
                </c:pt>
                <c:pt idx="3">
                  <c:v>0.48499999999999999</c:v>
                </c:pt>
                <c:pt idx="4">
                  <c:v>0.623</c:v>
                </c:pt>
                <c:pt idx="5">
                  <c:v>0.73899999999999999</c:v>
                </c:pt>
                <c:pt idx="6">
                  <c:v>0.84</c:v>
                </c:pt>
                <c:pt idx="7">
                  <c:v>0.91600000000000004</c:v>
                </c:pt>
                <c:pt idx="8">
                  <c:v>0.93100000000000005</c:v>
                </c:pt>
                <c:pt idx="9">
                  <c:v>0.92800000000000005</c:v>
                </c:pt>
                <c:pt idx="10">
                  <c:v>0.90200000000000002</c:v>
                </c:pt>
                <c:pt idx="11">
                  <c:v>0.86099999999999999</c:v>
                </c:pt>
                <c:pt idx="12">
                  <c:v>0.754</c:v>
                </c:pt>
                <c:pt idx="13">
                  <c:v>0.58899999999999997</c:v>
                </c:pt>
                <c:pt idx="14">
                  <c:v>0.42799999999999999</c:v>
                </c:pt>
                <c:pt idx="15">
                  <c:v>0.28000000000000003</c:v>
                </c:pt>
                <c:pt idx="16">
                  <c:v>0.187</c:v>
                </c:pt>
                <c:pt idx="17">
                  <c:v>0.128</c:v>
                </c:pt>
                <c:pt idx="18">
                  <c:v>8.6999999999999994E-2</c:v>
                </c:pt>
                <c:pt idx="19">
                  <c:v>0.06</c:v>
                </c:pt>
                <c:pt idx="20">
                  <c:v>4.2000000000000003E-2</c:v>
                </c:pt>
                <c:pt idx="21">
                  <c:v>3.1E-2</c:v>
                </c:pt>
                <c:pt idx="22">
                  <c:v>2.3E-2</c:v>
                </c:pt>
                <c:pt idx="23">
                  <c:v>1.7000000000000001E-2</c:v>
                </c:pt>
                <c:pt idx="24">
                  <c:v>1.4E-2</c:v>
                </c:pt>
                <c:pt idx="25">
                  <c:v>8.9999999999999993E-3</c:v>
                </c:pt>
                <c:pt idx="26">
                  <c:v>7.0000000000000001E-3</c:v>
                </c:pt>
                <c:pt idx="27">
                  <c:v>5.0000000000000001E-3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'спектър CoPARMTT(TV)'!$C$1</c:f>
              <c:strCache>
                <c:ptCount val="1"/>
                <c:pt idx="0">
                  <c:v>(2) Co-PAR-TV</c:v>
                </c:pt>
              </c:strCache>
            </c:strRef>
          </c:tx>
          <c:spPr>
            <a:ln w="12700">
              <a:solidFill>
                <a:srgbClr val="FF0000"/>
              </a:solidFill>
            </a:ln>
          </c:spPr>
          <c:marker>
            <c:symbol val="circle"/>
            <c:size val="4"/>
            <c:spPr>
              <a:solidFill>
                <a:srgbClr val="FF0000"/>
              </a:solidFill>
              <a:ln>
                <a:noFill/>
              </a:ln>
            </c:spPr>
          </c:marker>
          <c:xVal>
            <c:numRef>
              <c:f>'спектър CoPARMTT(TV)'!$A$2:$A$30</c:f>
              <c:numCache>
                <c:formatCode>General</c:formatCode>
                <c:ptCount val="29"/>
                <c:pt idx="0">
                  <c:v>440</c:v>
                </c:pt>
                <c:pt idx="1">
                  <c:v>450</c:v>
                </c:pt>
                <c:pt idx="2">
                  <c:v>460</c:v>
                </c:pt>
                <c:pt idx="3">
                  <c:v>470</c:v>
                </c:pt>
                <c:pt idx="4">
                  <c:v>480</c:v>
                </c:pt>
                <c:pt idx="5">
                  <c:v>490</c:v>
                </c:pt>
                <c:pt idx="6">
                  <c:v>500</c:v>
                </c:pt>
                <c:pt idx="7" formatCode="0">
                  <c:v>510</c:v>
                </c:pt>
                <c:pt idx="8">
                  <c:v>515</c:v>
                </c:pt>
                <c:pt idx="9">
                  <c:v>520</c:v>
                </c:pt>
                <c:pt idx="10">
                  <c:v>525</c:v>
                </c:pt>
                <c:pt idx="11">
                  <c:v>530</c:v>
                </c:pt>
                <c:pt idx="12">
                  <c:v>540</c:v>
                </c:pt>
                <c:pt idx="13">
                  <c:v>550</c:v>
                </c:pt>
                <c:pt idx="14">
                  <c:v>560</c:v>
                </c:pt>
                <c:pt idx="15">
                  <c:v>570</c:v>
                </c:pt>
                <c:pt idx="16">
                  <c:v>580</c:v>
                </c:pt>
                <c:pt idx="17">
                  <c:v>590</c:v>
                </c:pt>
                <c:pt idx="18">
                  <c:v>600</c:v>
                </c:pt>
                <c:pt idx="19">
                  <c:v>610</c:v>
                </c:pt>
                <c:pt idx="20">
                  <c:v>620</c:v>
                </c:pt>
                <c:pt idx="21">
                  <c:v>630</c:v>
                </c:pt>
                <c:pt idx="22">
                  <c:v>640</c:v>
                </c:pt>
                <c:pt idx="23">
                  <c:v>650</c:v>
                </c:pt>
                <c:pt idx="24">
                  <c:v>660</c:v>
                </c:pt>
                <c:pt idx="25">
                  <c:v>670</c:v>
                </c:pt>
                <c:pt idx="26">
                  <c:v>680</c:v>
                </c:pt>
                <c:pt idx="27">
                  <c:v>690</c:v>
                </c:pt>
              </c:numCache>
            </c:numRef>
          </c:xVal>
          <c:yVal>
            <c:numRef>
              <c:f>'спектър CoPARMTT(TV)'!$C$2:$C$30</c:f>
              <c:numCache>
                <c:formatCode>General</c:formatCode>
                <c:ptCount val="29"/>
                <c:pt idx="1">
                  <c:v>7.8E-2</c:v>
                </c:pt>
                <c:pt idx="2">
                  <c:v>0.26100000000000001</c:v>
                </c:pt>
                <c:pt idx="3">
                  <c:v>0.44700000000000001</c:v>
                </c:pt>
                <c:pt idx="4">
                  <c:v>0.623</c:v>
                </c:pt>
                <c:pt idx="5">
                  <c:v>0.76400000000000001</c:v>
                </c:pt>
                <c:pt idx="6">
                  <c:v>0.86699999999999999</c:v>
                </c:pt>
                <c:pt idx="7">
                  <c:v>0.95699999999999996</c:v>
                </c:pt>
                <c:pt idx="8">
                  <c:v>0.98199999999999998</c:v>
                </c:pt>
                <c:pt idx="9">
                  <c:v>0.98</c:v>
                </c:pt>
                <c:pt idx="10">
                  <c:v>0.95799999999999996</c:v>
                </c:pt>
                <c:pt idx="11">
                  <c:v>0.91800000000000004</c:v>
                </c:pt>
                <c:pt idx="12">
                  <c:v>0.79500000000000004</c:v>
                </c:pt>
                <c:pt idx="13">
                  <c:v>0.623</c:v>
                </c:pt>
                <c:pt idx="14">
                  <c:v>0.435</c:v>
                </c:pt>
                <c:pt idx="15">
                  <c:v>0.28599999999999998</c:v>
                </c:pt>
                <c:pt idx="16">
                  <c:v>0.188</c:v>
                </c:pt>
                <c:pt idx="17">
                  <c:v>0.127</c:v>
                </c:pt>
                <c:pt idx="18">
                  <c:v>9.1999999999999998E-2</c:v>
                </c:pt>
                <c:pt idx="19">
                  <c:v>6.6000000000000003E-2</c:v>
                </c:pt>
                <c:pt idx="20">
                  <c:v>4.9000000000000002E-2</c:v>
                </c:pt>
                <c:pt idx="21">
                  <c:v>3.7999999999999999E-2</c:v>
                </c:pt>
                <c:pt idx="22">
                  <c:v>3.1E-2</c:v>
                </c:pt>
                <c:pt idx="23">
                  <c:v>2.5000000000000001E-2</c:v>
                </c:pt>
                <c:pt idx="24">
                  <c:v>0.02</c:v>
                </c:pt>
                <c:pt idx="25">
                  <c:v>1.7000000000000001E-2</c:v>
                </c:pt>
                <c:pt idx="26">
                  <c:v>1.4999999999999999E-2</c:v>
                </c:pt>
                <c:pt idx="27">
                  <c:v>1.2E-2</c:v>
                </c:pt>
                <c:pt idx="28">
                  <c:v>1.0999999999999999E-2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9028864"/>
        <c:axId val="69056000"/>
      </c:scatterChart>
      <c:valAx>
        <c:axId val="69028864"/>
        <c:scaling>
          <c:orientation val="minMax"/>
          <c:max val="700"/>
          <c:min val="40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Wavelenght  </a:t>
                </a:r>
                <a:r>
                  <a:rPr lang="el-GR" i="1">
                    <a:latin typeface="Arial"/>
                    <a:cs typeface="Arial"/>
                  </a:rPr>
                  <a:t>λ</a:t>
                </a:r>
                <a:r>
                  <a:rPr lang="en-US"/>
                  <a:t>,</a:t>
                </a:r>
                <a:r>
                  <a:rPr lang="en-US" baseline="0"/>
                  <a:t> </a:t>
                </a:r>
                <a:r>
                  <a:rPr lang="en-US"/>
                  <a:t>nm</a:t>
                </a:r>
                <a:endParaRPr lang="bg-BG"/>
              </a:p>
            </c:rich>
          </c:tx>
          <c:layout/>
          <c:overlay val="0"/>
        </c:title>
        <c:numFmt formatCode="General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69056000"/>
        <c:crossesAt val="0"/>
        <c:crossBetween val="midCat"/>
        <c:majorUnit val="50"/>
      </c:valAx>
      <c:valAx>
        <c:axId val="69056000"/>
        <c:scaling>
          <c:orientation val="minMax"/>
          <c:max val="1.2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 Absorbance</a:t>
                </a:r>
                <a:endParaRPr lang="bg-BG"/>
              </a:p>
            </c:rich>
          </c:tx>
          <c:layout>
            <c:manualLayout>
              <c:xMode val="edge"/>
              <c:yMode val="edge"/>
              <c:x val="1.8092504323247216E-2"/>
              <c:y val="0.20303682336737611"/>
            </c:manualLayout>
          </c:layout>
          <c:overlay val="0"/>
        </c:title>
        <c:numFmt formatCode="#,##0.00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69028864"/>
        <c:crosses val="autoZero"/>
        <c:crossBetween val="midCat"/>
        <c:majorUnit val="0.2"/>
      </c:val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0.53470694089660198"/>
          <c:y val="7.1428497180426709E-2"/>
          <c:w val="0.39659723136614611"/>
          <c:h val="0.16743416551604035"/>
        </c:manualLayout>
      </c:layout>
      <c:overlay val="0"/>
      <c:txPr>
        <a:bodyPr/>
        <a:lstStyle/>
        <a:p>
          <a:pPr>
            <a:defRPr sz="800"/>
          </a:pPr>
          <a:endParaRPr lang="en-US"/>
        </a:p>
      </c:txPr>
    </c:legend>
    <c:plotVisOnly val="1"/>
    <c:dispBlanksAs val="gap"/>
    <c:showDLblsOverMax val="0"/>
  </c:chart>
  <c:spPr>
    <a:ln>
      <a:solidFill>
        <a:schemeClr val="bg1"/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5</cp:revision>
  <dcterms:created xsi:type="dcterms:W3CDTF">2014-03-13T11:20:00Z</dcterms:created>
  <dcterms:modified xsi:type="dcterms:W3CDTF">2014-06-10T09:36:00Z</dcterms:modified>
</cp:coreProperties>
</file>